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</w:rPr>
      </w:pPr>
      <w:r>
        <w:rPr>
          <w:rFonts w:eastAsia="Calibri" w:cs="Calibri" w:ascii="Calibri" w:hAnsi="Calibri"/>
          <w:b/>
          <w:spacing w:val="30"/>
          <w:sz w:val="20"/>
          <w:szCs w:val="20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</w:rPr>
      </w:pPr>
      <w:r>
        <w:rPr>
          <w:rFonts w:eastAsia="Calibri" w:cs="Calibri" w:ascii="Calibri" w:hAnsi="Calibri"/>
          <w:b/>
          <w:sz w:val="20"/>
          <w:szCs w:val="20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4"/>
        <w:gridCol w:w="363"/>
        <w:gridCol w:w="142"/>
        <w:gridCol w:w="994"/>
        <w:gridCol w:w="84"/>
        <w:gridCol w:w="23"/>
        <w:gridCol w:w="739"/>
        <w:gridCol w:w="50"/>
        <w:gridCol w:w="790"/>
        <w:gridCol w:w="154"/>
        <w:gridCol w:w="567"/>
        <w:gridCol w:w="66"/>
        <w:gridCol w:w="501"/>
        <w:gridCol w:w="287"/>
        <w:gridCol w:w="65"/>
        <w:gridCol w:w="215"/>
        <w:gridCol w:w="186"/>
        <w:gridCol w:w="381"/>
        <w:gridCol w:w="422"/>
        <w:gridCol w:w="145"/>
        <w:gridCol w:w="570"/>
        <w:gridCol w:w="103"/>
        <w:gridCol w:w="30"/>
        <w:gridCol w:w="52"/>
        <w:gridCol w:w="384"/>
        <w:gridCol w:w="551"/>
        <w:gridCol w:w="151"/>
        <w:gridCol w:w="631"/>
        <w:gridCol w:w="1076"/>
        <w:gridCol w:w="6"/>
        <w:gridCol w:w="15"/>
        <w:gridCol w:w="40"/>
      </w:tblGrid>
      <w:tr>
        <w:trPr>
          <w:trHeight w:val="397" w:hRule="atLeast"/>
        </w:trPr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16"/>
                <w:szCs w:val="16"/>
              </w:rPr>
              <w:t>Kod przedmiotu</w:t>
            </w:r>
          </w:p>
        </w:tc>
        <w:tc>
          <w:tcPr>
            <w:tcW w:w="1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jc w:val="center"/>
              <w:rPr>
                <w:rFonts w:ascii="Calibri" w:hAnsi="Calibri" w:eastAsia="Calibri" w:cs="Calibri"/>
                <w:sz w:val="16"/>
                <w:szCs w:val="16"/>
              </w:rPr>
            </w:pPr>
            <w:r>
              <w:rPr>
                <w:rFonts w:eastAsia="Calibri" w:cs="Calibri" w:ascii="Calibri" w:hAnsi="Calibri"/>
                <w:sz w:val="16"/>
                <w:szCs w:val="16"/>
              </w:rPr>
              <w:t>04.5_Z1PN_Bnoor0319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16"/>
                <w:szCs w:val="16"/>
              </w:rPr>
              <w:t>Nazwa przedmiotu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 xml:space="preserve">Nauka o organizacji 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Nazwa przedmiotu w języku angielskim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/>
              </w:rPr>
              <w:t>Theory of organization and management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Wydział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Ekonomii i Zarządzania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Kierunek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Zarządzanie i coaching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Forma studiów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Niestacjonarne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Poziom uczenia się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Pierwszego stopnia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Profil kształcenia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Praktyczny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Przynależność do grupy przedmiotów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hi-IN" w:bidi="hi-IN"/>
              </w:rPr>
              <w:t>Kierunkowe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Przedmioty do wyboru w zakresie: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Osoba odpowiedzialna za przedmiot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Dr Marcin Szplit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Osoby prowadzące zajęcia</w:t>
            </w:r>
          </w:p>
        </w:tc>
        <w:tc>
          <w:tcPr>
            <w:tcW w:w="638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Dr Marcin Szplit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63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W </w:t>
            </w:r>
          </w:p>
        </w:tc>
        <w:tc>
          <w:tcPr>
            <w:tcW w:w="58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Zajęcia kształtujące umiejętności praktyczne (ZKUP) 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3963" w:type="dxa"/>
            <w:gridSpan w:val="10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Ć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ZP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Wa </w:t>
            </w:r>
          </w:p>
        </w:tc>
        <w:tc>
          <w:tcPr>
            <w:tcW w:w="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</w:t>
            </w:r>
          </w:p>
        </w:tc>
        <w:tc>
          <w:tcPr>
            <w:tcW w:w="1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Inne- jakie: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3" w:hRule="atLeast"/>
        </w:trPr>
        <w:tc>
          <w:tcPr>
            <w:tcW w:w="3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2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Legenda: W– wykład, Ć– ćwiczenia, K- konwersatorium, L– laboratorium, ZP– zajęcia praktyczne,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</w:rPr>
              <w:t>Wa– warsztaty, Pr– praktyka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II</w:t>
            </w:r>
          </w:p>
        </w:tc>
        <w:tc>
          <w:tcPr>
            <w:tcW w:w="20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Liczba punktów ECTS za przedmiot</w:t>
            </w:r>
          </w:p>
        </w:tc>
        <w:tc>
          <w:tcPr>
            <w:tcW w:w="2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3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obowiązkowy</w:t>
            </w:r>
          </w:p>
        </w:tc>
        <w:tc>
          <w:tcPr>
            <w:tcW w:w="20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Język wykładowy</w:t>
            </w:r>
          </w:p>
        </w:tc>
        <w:tc>
          <w:tcPr>
            <w:tcW w:w="2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polski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61" w:hRule="atLeast"/>
        </w:trPr>
        <w:tc>
          <w:tcPr>
            <w:tcW w:w="2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Wymagania wstępne</w:t>
            </w:r>
          </w:p>
        </w:tc>
        <w:tc>
          <w:tcPr>
            <w:tcW w:w="737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  <w:lang w:eastAsia="ar-SA" w:bidi="ar-SA"/>
              </w:rPr>
              <w:t>Brak wymagań wstępnych.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Cele uczenia się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Times" w:cs="Times"/>
                <w:color w:val="000000"/>
                <w:sz w:val="20"/>
                <w:szCs w:val="20"/>
                <w:highlight w:val="white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</w:rPr>
              <w:t xml:space="preserve">Celem przedmiotu jest przekazanie studentom wiedzy z zakresu nauki o organizacji, a w szczególności ogólnej wiedzy o jej strukturze, rodzajach, funkcjonowaniu, niezbędnej do lepszego zrozumienia zagadnień dotyczących organizacji i zarządzania. </w:t>
            </w:r>
            <w:r>
              <w:rPr>
                <w:rFonts w:ascii="Calibri" w:hAnsi="Calibri"/>
                <w:sz w:val="20"/>
                <w:szCs w:val="20"/>
              </w:rPr>
              <w:t>Celem jest wykształcenie kompleksowego spojrzenia na organizację jako wielowymiarowy, złożony system będący podstawowym elementem gospodarki. Wyrobienie umiejętności analizowania podstawowych cech organizacji ze względu na warunki i cele działalności gospodarczej organizacji oraz zasad gospodarowania zasobami.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3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Praca zespołowa, studia przypadków</w:t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</w:rPr>
              <w:t xml:space="preserve"> dla przedmiotu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8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Efekt uczenia się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Student, który zaliczył przedmiot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wie/umie/potrafi: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SYMBOL (odniesienie kierunkowych efektów uczenia się do charakterystyk drugiego stopnia dla: poziomu 6 Polskiej Ramy Kwalifikacji)*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K_W01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W1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>Student m</w:t>
            </w:r>
            <w:r>
              <w:rPr>
                <w:rFonts w:ascii="Calibri" w:hAnsi="Calibri"/>
                <w:sz w:val="20"/>
                <w:szCs w:val="20"/>
              </w:rPr>
              <w:t>a ogólną wiedzę o rozwoju teorii dotyczących organizacji</w:t>
            </w:r>
            <w:r>
              <w:rPr>
                <w:rFonts w:ascii="Calibri" w:hAnsi="Calibri"/>
                <w:iCs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Default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P6S_WG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W2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>Student posiada wiedzę nt. typowych struktur organizacyjnych oraz procesów i zasobów wpływających na funkcjonowanie i przekształcanie organizacji.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Default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color w:val="auto"/>
                <w:sz w:val="20"/>
                <w:szCs w:val="20"/>
              </w:rPr>
              <w:t>P6S_WG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6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U1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 xml:space="preserve">Student potrafi </w:t>
            </w:r>
            <w:r>
              <w:rPr>
                <w:rFonts w:ascii="Calibri" w:hAnsi="Calibri"/>
                <w:sz w:val="20"/>
                <w:szCs w:val="20"/>
              </w:rPr>
              <w:t>interpretować wybrane problemy organizacji w świetle dorobku i autorytetów w dziedzinie nauki o organizacji.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U2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 xml:space="preserve">Student umie ocenić i dokonywać </w:t>
            </w:r>
            <w:r>
              <w:rPr>
                <w:rFonts w:ascii="Calibri" w:hAnsi="Calibri"/>
                <w:sz w:val="20"/>
                <w:szCs w:val="20"/>
              </w:rPr>
              <w:t>obserwacji zjawisk i procesów w organizacji oraz dokonywać ich opisu, analizy i interpretacji stosując podstawowe pojęcia i ujęcia teoretyczne.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0367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4" w:hRule="atLeast"/>
        </w:trPr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K_K02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K1</w:t>
            </w:r>
          </w:p>
        </w:tc>
        <w:tc>
          <w:tcPr>
            <w:tcW w:w="65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napToGrid w:val="false"/>
              <w:spacing w:before="40" w:after="40"/>
              <w:ind w:left="0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</w:rPr>
              <w:t>Student chętnie podejmuje się dyskusji oraz u</w:t>
            </w:r>
            <w:r>
              <w:rPr>
                <w:rFonts w:ascii="Calibri" w:hAnsi="Calibri"/>
                <w:sz w:val="20"/>
                <w:szCs w:val="20"/>
              </w:rPr>
              <w:t>czestniczy w pracach zespołu pełniąc w nim różne role.</w:t>
            </w:r>
          </w:p>
        </w:tc>
        <w:tc>
          <w:tcPr>
            <w:tcW w:w="1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P6S_KO</w:t>
            </w:r>
          </w:p>
        </w:tc>
        <w:tc>
          <w:tcPr>
            <w:tcW w:w="40" w:type="dxa"/>
            <w:tcBorders/>
          </w:tcPr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</w:rPr>
              <w:t xml:space="preserve"> dla przedmiotu w odniesieniu do form zajęć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  <w:cantSplit w:val="true"/>
        </w:trPr>
        <w:tc>
          <w:tcPr>
            <w:tcW w:w="223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81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Forma zajęć dydaktycznych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84" w:hRule="atLeast"/>
          <w:cantSplit w:val="true"/>
        </w:trPr>
        <w:tc>
          <w:tcPr>
            <w:tcW w:w="2230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Praca pisemna końcowa (np. esej)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9" w:hRule="exac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6" w:hRule="exact"/>
        </w:trPr>
        <w:tc>
          <w:tcPr>
            <w:tcW w:w="2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W1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6" w:hRule="exact"/>
        </w:trPr>
        <w:tc>
          <w:tcPr>
            <w:tcW w:w="2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W2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7" w:hRule="exact"/>
        </w:trPr>
        <w:tc>
          <w:tcPr>
            <w:tcW w:w="2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1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1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1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x</w:t>
            </w:r>
          </w:p>
        </w:tc>
        <w:tc>
          <w:tcPr>
            <w:tcW w:w="1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55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Treść przedmiotu uczenia się (program wykładów i pozostałych zajęć)</w:t>
            </w:r>
          </w:p>
        </w:tc>
        <w:tc>
          <w:tcPr>
            <w:tcW w:w="27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Odniesienie do efektów uczenia się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50" w:hRule="atLeast"/>
        </w:trPr>
        <w:tc>
          <w:tcPr>
            <w:tcW w:w="755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bookmarkStart w:id="0" w:name="maindiv"/>
            <w:bookmarkEnd w:id="0"/>
            <w:r>
              <w:rPr>
                <w:rFonts w:ascii="Calibri" w:hAnsi="Calibri"/>
                <w:sz w:val="18"/>
                <w:szCs w:val="18"/>
              </w:rPr>
              <w:t>1. Ewolucja nauki o organizacji: geneza badań nad organizacją i zarządzaniem – koncepcje szkół.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2. Systemowa interpretacja pojęcia organizacji: organizacja i instytucja; organizacja i jej otoczenie; struktura otoczenia organizacji.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3. Władza organizacyjne: definicje, źródła i układ władzy w organizacji; style kierowania a przywództwo.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4. Struktura organizacyjna: pojęcie struktury; etapy tworzenia; formalizacja organizacji.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5. Planowanie i kontrolowanie w organizacji jako procesy.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6. Kapitał ludzki organizacji: zasoby w organizacji i znaczenie kapitału intelektualnego; zarządzanie kapitałem intelektualnym.</w:t>
            </w:r>
          </w:p>
          <w:p>
            <w:pPr>
              <w:pStyle w:val="Norma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7. Cykl życia organizacji: modele opisujące funkcjonowanie organizacji, charakterystyka poszczególnych faz cyklu organizacji, zaburzenia w cyklu życia organizacji. </w:t>
            </w:r>
          </w:p>
        </w:tc>
        <w:tc>
          <w:tcPr>
            <w:tcW w:w="27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libri" w:hAnsi="Calibri" w:eastAsia="Calibri"/>
                <w:color w:val="000000"/>
                <w:sz w:val="18"/>
                <w:szCs w:val="18"/>
              </w:rPr>
            </w:pPr>
            <w:r>
              <w:rPr>
                <w:rFonts w:eastAsia="Calibri" w:ascii="Calibri" w:hAnsi="Calibri"/>
                <w:color w:val="000000"/>
                <w:sz w:val="18"/>
                <w:szCs w:val="18"/>
              </w:rPr>
              <w:t>W1, W2</w:t>
            </w:r>
          </w:p>
          <w:p>
            <w:pPr>
              <w:pStyle w:val="Normal"/>
              <w:rPr>
                <w:rFonts w:ascii="Calibri" w:hAnsi="Calibri" w:eastAsia="Calibri"/>
                <w:color w:val="000000"/>
                <w:sz w:val="18"/>
                <w:szCs w:val="18"/>
              </w:rPr>
            </w:pPr>
            <w:r>
              <w:rPr>
                <w:rFonts w:eastAsia="Calibri" w:ascii="Calibri" w:hAnsi="Calibri"/>
                <w:color w:val="000000"/>
                <w:sz w:val="18"/>
                <w:szCs w:val="18"/>
              </w:rPr>
              <w:t>U1, U2,</w:t>
            </w:r>
          </w:p>
          <w:p>
            <w:pPr>
              <w:pStyle w:val="Normal"/>
              <w:rPr>
                <w:rFonts w:ascii="Calibri" w:hAnsi="Calibri" w:eastAsia="Calibri"/>
                <w:color w:val="000000"/>
                <w:sz w:val="18"/>
                <w:szCs w:val="18"/>
              </w:rPr>
            </w:pPr>
            <w:r>
              <w:rPr>
                <w:rFonts w:eastAsia="Calibri" w:ascii="Calibri" w:hAnsi="Calibri"/>
                <w:color w:val="000000"/>
                <w:sz w:val="18"/>
                <w:szCs w:val="18"/>
              </w:rPr>
              <w:t>K1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Zalecana literatura i pomoce naukowe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20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Calibri" w:hAnsi="Calibri" w:eastAsia="Calibri"/>
                <w:b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000000"/>
                <w:sz w:val="20"/>
                <w:szCs w:val="20"/>
                <w:lang w:eastAsia="en-US"/>
              </w:rPr>
              <w:t>Literatura podstawowa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1. Kożuch: Nauka o organizacji Wydawnictwa Fachowe CeDeWu.pl Warszawa 2008. 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2. Podstawy nauki o przedsiębiorstwie (red. J. Lichtarski), Wydawnictwo AE we Wrocławiu, wyd. 7 2007. 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3. Podstawy nauki o organizacji red. S. Marek, M. Białasiewicz, PWE Warszawa 2008. </w:t>
            </w:r>
          </w:p>
          <w:p>
            <w:pPr>
              <w:pStyle w:val="Normal"/>
              <w:jc w:val="both"/>
              <w:rPr>
                <w:rFonts w:ascii="Calibri" w:hAnsi="Calibri" w:eastAsia="Batang" w:cs="NimbusRomNo9L-Regu"/>
                <w:b/>
                <w:b/>
                <w:sz w:val="20"/>
                <w:szCs w:val="20"/>
                <w:lang w:eastAsia="he-IL" w:bidi="he-IL"/>
              </w:rPr>
            </w:pPr>
            <w:r>
              <w:rPr>
                <w:rFonts w:eastAsia="Batang" w:cs="NimbusRomNo9L-Regu" w:ascii="Calibri" w:hAnsi="Calibri"/>
                <w:b/>
                <w:sz w:val="20"/>
                <w:szCs w:val="20"/>
                <w:lang w:eastAsia="he-IL" w:bidi="he-IL"/>
              </w:rPr>
              <w:t>Literatura uzupełniająca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1. Galata S., Podstawy zarządzania nowoczesną organizacją, Difin Warszawa 2007. </w:t>
            </w:r>
          </w:p>
          <w:p>
            <w:pPr>
              <w:pStyle w:val="Normal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2. Zarządzanie organizacjami w teorii i w praktyce, red. W. Kowalczewski, W. Matwiejczuk, Difin Warszawa 2008. </w:t>
            </w:r>
          </w:p>
          <w:p>
            <w:pPr>
              <w:pStyle w:val="Normal"/>
              <w:widowControl/>
              <w:suppressAutoHyphens w:val="false"/>
              <w:spacing w:lineRule="auto" w:line="240" w:before="0" w:after="90"/>
              <w:textAlignment w:val="auto"/>
              <w:rPr>
                <w:rFonts w:ascii="Calibri" w:hAnsi="Calibri" w:eastAsia="Times New Roman" w:cs="Arial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/>
                <w:sz w:val="20"/>
                <w:szCs w:val="20"/>
              </w:rPr>
              <w:t>3. Nauka o przedsiębiorstwie. Wybrane zagadnienia, red. J. Lichniak, Oficyna Wydawnicza SGH, Warszawa 2009.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Bilans punktów ECTS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(udział w zajęciach, aktywność, przygotowanie sprawozdania, itp.)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Obciążenie studenta [h]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godzin realizowanych przy bezpośrednim udziale nauczyciela akademickiego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1.1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  <w:t>Udział w wykładach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1.2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konwersatoriach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15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1.3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ćwiczeniach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1.4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zajęciach laboratoryjnych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1.5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 xml:space="preserve">Udział w konsultacjach 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1.6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Udział w egzaminie/kolokwium zaliczeniowym przedmiotu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1.7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Inne – jakie?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1.8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godzin realizowanych przy bezpośrednim udziale nauczyciela akademickiego (suma pozycji 1.1 – 1.7)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19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1.9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(1 pkt ECTS = 25 godzin obciążenia studenta, zaokrąglić do 0,1 pkt ECTS)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0,8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Samodzielna praca studenta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2.1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Przygotowanie do wykładów, ćwiczeń, kolokwiów, sprawozdań, raportów, prac semestralnych, itp.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2.2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Realizacja samodzielnie wykonywanych zadań zlecanych przez prowadzącego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56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2.3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Przygotowanie do kolokwium końcowego z ćwiczeń/laboratorium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2.4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Przygotowanie do egzaminu/kolokwium końcowego z wykładów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2.5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Inne – jakie?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2.6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godzin samodzielnej pracy studenta (suma 2.1 – 2.5)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Style w:val="Domylnaczcionkaakapitu1"/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2.7</w:t>
            </w:r>
          </w:p>
        </w:tc>
        <w:tc>
          <w:tcPr>
            <w:tcW w:w="67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</w:rPr>
              <w:t>(1 pkt ECTS = 25 godzin obciążenia studenta, zaokrąglić do 0,1 pkt ECTS)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2,</w:t>
            </w: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Sumaryczne obciążenie pracą studenta (suma 1.8+2.6)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75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Punkty ECTS za przedmiot (suma 1.9+2.7)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auto"/>
                <w:kern w:val="2"/>
                <w:sz w:val="20"/>
                <w:szCs w:val="20"/>
                <w:lang w:val="pl-PL" w:eastAsia="hi-IN" w:bidi="hi-IN"/>
              </w:rPr>
            </w:pPr>
            <w:r>
              <w:rPr>
                <w:rFonts w:eastAsia="Calibri" w:cs="Calibri" w:ascii="Calibri" w:hAnsi="Calibri"/>
                <w:b/>
                <w:color w:val="auto"/>
                <w:kern w:val="2"/>
                <w:sz w:val="20"/>
                <w:szCs w:val="20"/>
                <w:lang w:val="pl-PL" w:eastAsia="hi-IN" w:bidi="hi-IN"/>
              </w:rPr>
              <w:t>3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Nakład pracy związany z zajęciami o charakterze kształtującym umiejętności praktyczne, w tym: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Zajęcia praktyczne (Wydział Nauk Medycznych)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Zajęcia o charakterze kształtującym umiejętności praktyczne (1.2 – 1.4, 2.2 i 2.5)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Praktyka zawodowa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Łączny nakład pracy związany z zajęciami o charakterze kształtującym umiejętności praktyczne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(1 pkt ECTS = 25 godzin obciążenia studenta, zaokrąglić do 0,1 pkt ECTS)</w:t>
            </w:r>
          </w:p>
        </w:tc>
        <w:tc>
          <w:tcPr>
            <w:tcW w:w="2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  <w:t>Uwagi</w:t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103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  <w:t>Strona internetowa przedmiotu:</w:t>
            </w:r>
          </w:p>
        </w:tc>
        <w:tc>
          <w:tcPr>
            <w:tcW w:w="81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rPr>
          <w:rFonts w:ascii="Calibri" w:hAnsi="Calibri"/>
          <w:sz w:val="20"/>
          <w:szCs w:val="20"/>
        </w:rPr>
      </w:pPr>
      <w:r>
        <w:rPr>
          <w:rFonts w:eastAsia="Calibri" w:cs="Times New Roman" w:ascii="Calibri" w:hAnsi="Calibri"/>
          <w:sz w:val="20"/>
          <w:szCs w:val="20"/>
        </w:rPr>
        <w:t>*</w:t>
      </w:r>
      <w:r>
        <w:rPr>
          <w:rFonts w:cs="Times New Roman" w:ascii="Calibri" w:hAnsi="Calibri"/>
          <w:sz w:val="20"/>
          <w:szCs w:val="20"/>
        </w:rPr>
        <w:t xml:space="preserve"> </w:t>
      </w:r>
      <w:r>
        <w:rPr>
          <w:rFonts w:eastAsia="Calibri" w:cs="Times New Roman" w:ascii="Calibri" w:hAnsi="Calibri"/>
          <w:sz w:val="20"/>
          <w:szCs w:val="20"/>
        </w:rPr>
        <w:t xml:space="preserve">odniesienie kierunkowych efektów uczenia się zgodnych z Ustawą z dnia 22 grudnia 2015 roku </w:t>
      </w:r>
      <w:r>
        <w:rPr>
          <w:rFonts w:eastAsia="Calibri" w:cs="Times New Roman" w:ascii="Calibri" w:hAnsi="Calibri"/>
          <w:i/>
          <w:sz w:val="20"/>
          <w:szCs w:val="20"/>
        </w:rPr>
        <w:t>o Zintegrowanym Systemie Kwalifikacj</w:t>
      </w:r>
      <w:r>
        <w:rPr>
          <w:rFonts w:eastAsia="Calibri" w:cs="Times New Roman" w:ascii="Calibri" w:hAnsi="Calibri"/>
          <w:sz w:val="20"/>
          <w:szCs w:val="20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 w:ascii="Calibri" w:hAnsi="Calibri"/>
          <w:i/>
          <w:sz w:val="20"/>
          <w:szCs w:val="20"/>
        </w:rPr>
        <w:t>w sprawie charakterystyk drugiego stopnia uczenia się dla kwalifikacji na poziomach 6-8 Polskiej Ramy Kwalifikacji</w:t>
      </w:r>
      <w:r>
        <w:rPr>
          <w:rFonts w:eastAsia="Calibri" w:cs="Times New Roman" w:ascii="Calibri" w:hAnsi="Calibri"/>
          <w:sz w:val="20"/>
          <w:szCs w:val="20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hi-IN" w:bidi="hi-IN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sz w:val="36"/>
      <w:szCs w:val="36"/>
      <w:lang w:eastAsia="ar-SA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hi-I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hi-I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hi-IN" w:bidi="hi-I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/>
      <w:ind w:left="720" w:hanging="0"/>
      <w:textAlignment w:val="auto"/>
    </w:pPr>
    <w:rPr>
      <w:rFonts w:eastAsia="Times New Roman" w:cs="Times New Roman"/>
      <w:lang w:eastAsia="ar-SA" w:bidi="ar-SA"/>
    </w:rPr>
  </w:style>
  <w:style w:type="paragraph" w:styleId="NormalWeb">
    <w:name w:val="Normal (Web)"/>
    <w:basedOn w:val="Normal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lang w:eastAsia="ar-SA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ar-SA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sz w:val="16"/>
      <w:szCs w:val="16"/>
      <w:lang w:eastAsia="ar-SA"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eastAsia="ar-SA"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Courier New"/>
      <w:sz w:val="20"/>
      <w:szCs w:val="20"/>
      <w:lang w:eastAsia="ar-SA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" w:customStyle="1">
    <w:name w:val="Standard"/>
    <w:qFormat/>
    <w:rsid w:val="001c5f73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, 宋体" w:cs="Mangal, Mangal"/>
      <w:color w:val="auto"/>
      <w:kern w:val="2"/>
      <w:sz w:val="24"/>
      <w:szCs w:val="24"/>
      <w:lang w:val="pl-PL" w:eastAsia="zh-CN" w:bidi="hi-IN"/>
    </w:rPr>
  </w:style>
  <w:style w:type="paragraph" w:styleId="Styl" w:customStyle="1">
    <w:name w:val="Styl"/>
    <w:qFormat/>
    <w:rsid w:val="007e12c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LibreOffice/6.4.6.2$Windows_X86_64 LibreOffice_project/0ce51a4fd21bff07a5c061082cc82c5ed232f115</Application>
  <Pages>4</Pages>
  <Words>1131</Words>
  <Characters>7656</Characters>
  <CharactersWithSpaces>8615</CharactersWithSpaces>
  <Paragraphs>205</Paragraphs>
  <Company>Ministrerstwo Edukacji Narodowej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2023-02-19T17:29:00Z</dcterms:created>
  <dc:creator>WSEiP</dc:creator>
  <dc:description/>
  <dc:language>pl-PL</dc:language>
  <cp:lastModifiedBy/>
  <cp:lastPrinted>2019-04-14T14:25:00Z</cp:lastPrinted>
  <dcterms:modified xsi:type="dcterms:W3CDTF">2023-02-22T23:28:58Z</dcterms:modified>
  <cp:revision>27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Ministrerstwo Edukacji Narodowej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